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c63f8294e6f547fa"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33048</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OPĆINA CRNAC</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22</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1.169.648,36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1.181.267,59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739.514,48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1.343.371,98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181,7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162.104,39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2.582,96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4.090,04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474.799,42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301.854,74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472.216,46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297.764,70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63,1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42.082,58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459.869,09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1092,8</w:t>
            </w:r>
          </w:p>
        </w:tc>
      </w:tr>
    </w:tbl>
    <w:p>
      <w:pPr>
        <w:spacing w:before="0" w:after="0"/>
      </w:pPr>
    </w:p>
    <w:p>
      <w:r>
        <w:t xml:space="preserve">Prihodi poslovanja (skupina 6) ostvareni u izvještajnom razdoblju iznose 1.181.267,59 eura, što je za 1,0 % više nego prethodne godine u izvještajnom razdoblju.  Rashodi poslovanja (skupina 3) ostvareni su u iznosu od 1.343.371,98 eura ili za 81,7 % više nego u odnosu na prethodnu godinu, iz čega se vidi da je do značajnih odstupanja u izvještajnom razdoblju došlo zbog većeg ostvarenja rashoda (povećanje rashoda plaća zbog većeg broja zaposlenih u izvještajnom razdoblju, kapitalne donacije neprofitnim organizacijama i trgovačkim društvima za izgradnju kanalizacije , te sveopće povećanje cijena na tržištu roba, radova i usluga, zbog kojih su se raspoloživa sredstva budućih razdoblja značajno smanjila zbog razlike između prihoda i rashoda jedinice lokalne samouprave koja se stalno povećava. Prihodi od nefinancijske imovine iznose (skupina 7) 4.090,04 eura , dok rashodi za nabavu nefinancijske imovine iznose (skupina 4) 301.854,74 euro.</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fiskalnog izravnanja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311.088,43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6353 Samo ovo razdoblje bilježi ostvarenje, zbog novootvorenog odjeljka na kojem se evidentiraju od 01.01.2025. poslovni događaji zbog novih pravilnika, a odnosi se na pomoći fiskalnog izravnanja,</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koncesije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119.319,08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Ovo razdoblje bilježi ostvarenje, zbog kašnjenja u plaćanju PP Orahovice naknade za koncesiju za poljoprivredno zemljište u vlasništvu RH za 2024.godinu, a uplaćeno u 2025, te su u 2025. uplaćene dvije rate za 2024., te 2025. godinu.</w:t>
      </w:r>
    </w:p>
    <w:p>
      <w:r>
        <w:t xml:space="preserve"> </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183.565,49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348.665,27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189,9</w:t>
            </w:r>
          </w:p>
        </w:tc>
      </w:tr>
    </w:tbl>
    <w:p>
      <w:pPr>
        <w:spacing w:before="0" w:after="0"/>
      </w:pPr>
    </w:p>
    <w:p>
      <w:r>
        <w:t xml:space="preserve">- Ostvareni su  više nego prošle godine u izvještajnom razdoblju, a odstupanja postoje zbog većeg broja zaposlenih nego u izvještajnom razdoblju prethodne godine, a odnosi se na 11 zaposlenika na projektu Zaželi</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12.447,86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29.708,37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238,7</w:t>
            </w:r>
          </w:p>
        </w:tc>
      </w:tr>
    </w:tbl>
    <w:p>
      <w:pPr>
        <w:spacing w:before="0" w:after="0"/>
      </w:pPr>
    </w:p>
    <w:p>
      <w:r>
        <w:t xml:space="preserve">U ovom razdoblju veća potreba za intelektualnim uslugama od čega značajniji rashod za uslugu Poduzetničkog inkubatora VPŽ zbog prijave na kreditnu liniju HBOR, te izrade provedbenog programa, te ostalih usluga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rad predstavničkih i izvršnih tijela, povjerenstava i slično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8.533,37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20.332,06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238,3</w:t>
            </w:r>
          </w:p>
        </w:tc>
      </w:tr>
    </w:tbl>
    <w:p>
      <w:pPr>
        <w:spacing w:before="0" w:after="0"/>
      </w:pPr>
    </w:p>
    <w:p>
      <w:r>
        <w:t xml:space="preserve">U ovom izvještajnom razdoblju bilježe se veći rashodi zbog provedbe predsjedničkih, te lokalnih izbora.</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Subvencije trgovačkim društvima u javnom sektoru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4.910,53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16.962,55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345,4</w:t>
            </w:r>
          </w:p>
        </w:tc>
      </w:tr>
    </w:tbl>
    <w:p>
      <w:pPr>
        <w:spacing w:before="0" w:after="0"/>
      </w:pPr>
    </w:p>
    <w:p>
      <w:r>
        <w:t xml:space="preserve">- Povećanje rashoda zbog većih troškova poslovanja društva  Elkomnet d.o.o. trgovačko društvo za upravljanje sustavom električne komunikacijske mreže. Troškovi se dijele ravnomjerno na Općine (članove društva) ravnomjerno po zahtjevu za prethodni mjesec</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Subvencije poljoprivrednicima i obrtnicima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14.270,98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Ovo razdoblje bilježi ostvarenje sukladno odluci općinskog vijeća o dodjeli potpora male vrijednosti za poticanje razvoja malog gospodarstva Općine Crnac za 2025. godinu</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drugom proračunu i izvanproračunskim korisnicima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110.596,35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Rashodi za sufinanciranje DV Lipa se bilježe na odjeljku 3661</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133.182,13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Ovaj odjeljak bilježi ostvarenje, a odnosi se na financiranje Dječjeg vrtića Lipa, područni odjel Veliki Rastovac, koji je proračunski korisnik Općine Čađavica. Prethodno su ti rashodi bili evidentirani na odjeljku 3631.</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donacije neprofitnim organizacijama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30.941,71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244,0</w:t>
            </w:r>
          </w:p>
        </w:tc>
      </w:tr>
    </w:tbl>
    <w:p>
      <w:pPr>
        <w:spacing w:before="0" w:after="0"/>
      </w:pPr>
    </w:p>
    <w:p>
      <w:r>
        <w:t xml:space="preserve">Rashodi se odnose na kapitalne donacije DVD Veliki Rastovac,  DVD Breštanovci,  te donacija crkvi sv. Ivana Krstitelja u Crncu sukladno odluci općinskog vijeća</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šteta pravnim i fizičkim osobama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20.633,14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Odnosi se na rashode za isplatu štete fizičkim osobama, prouzrokavne poplavom u 3.mjesecu 2025.godine, gdje su mještanima oštećeni stambeni objekti</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kreditnim i ostalim financijskim institucijama te trgovačkim društvima u javnom sektoru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1.049,90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201.487,81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Rashodi se odnose na doznaku sredstava za sufinanciranje terenskog snimanja vodoopskrbnog sustava, sufinanciranje  hidrauličke analize, te sufinanciranje  izgradnje kanalizacije u naselju Crnac</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Poslovni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166.588,87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25.024,04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w:t>
            </w:r>
          </w:p>
        </w:tc>
      </w:tr>
    </w:tbl>
    <w:p>
      <w:pPr>
        <w:spacing w:before="0" w:after="0"/>
      </w:pPr>
    </w:p>
    <w:p>
      <w:r>
        <w:t xml:space="preserve">Prethodno razdoblje bilježi znatno veće ostvarnje zbog izgradnje lovo ribičkog doma, te fitness sprava</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nematerijalna proizvedena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85.656,65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Prethodno razdoblje bilježi ostvarenje zbog izgradnje Širokopojasnog interneta po sporazumu</w:t>
      </w:r>
    </w:p>
    <w:p>
      <w:r>
        <w:t xml:space="preserve"> </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IMOVINA (šifre B002+1)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5.295.163,95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4.853.958,04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91,7</w:t>
            </w:r>
          </w:p>
        </w:tc>
      </w:tr>
    </w:tbl>
    <w:p>
      <w:pPr>
        <w:spacing w:before="0" w:after="0"/>
      </w:pPr>
    </w:p>
    <w:p>
      <w:r>
        <w:t xml:space="preserve">Bilanca je sustavni, vrijednosno iskazani pregled imovne, obveza i vlastitih izvora na određeni dan. Uz obrazloženje pozicija Bilance ovim se bilješkama prilažu i propisane tablice Popis ugovornih odnosa i slično koji uz ispunjenje određenih uvjeta mogu postati obveza ili potraživanja. Ukupna imovina  na dan 31.12.2025. godine iznosi 4.853.958,04 eura, što je manje u odnosu na prethodnu godinu za 8,3 %</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Nefinancijska imovina (šifre 01+02+03+04+05+06)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4.141.528,40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4.229.943,27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102,1</w:t>
            </w:r>
          </w:p>
        </w:tc>
      </w:tr>
    </w:tbl>
    <w:p>
      <w:pPr>
        <w:spacing w:before="0" w:after="0"/>
      </w:pPr>
    </w:p>
    <w:p>
      <w:r>
        <w:t xml:space="preserve">Vrijednost nefinancijske imovine (razred 0)  na dan 31.12.2025. bilježi povećanje od 2,1% u odnosu na prethodno izvještajno razdoblje, a iznosi 4.229.943,27 eura</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Financijska imovina (šifre 11+12+13+14+15+16+17+19)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1.153.635,55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624.014,77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54,1</w:t>
            </w:r>
          </w:p>
        </w:tc>
      </w:tr>
    </w:tbl>
    <w:p>
      <w:pPr>
        <w:spacing w:before="0" w:after="0"/>
      </w:pPr>
    </w:p>
    <w:p>
      <w:r>
        <w:t xml:space="preserve">Vrijednost financijske imovine (razred 1) na dan 31.12.2025.godine iznosi 624.014,77 </w:t>
      </w:r>
    </w:p>
    <w:p>
      <w:r>
        <w:t xml:space="preserve">   eura i bilježi smanjenje za 45,9 %  u odnosu na stanje prethodne godine</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na računu kod tuzemnih poslovnih banaka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592.175,83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77.160,71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w:t>
            </w:r>
          </w:p>
        </w:tc>
      </w:tr>
    </w:tbl>
    <w:p>
      <w:pPr>
        <w:spacing w:before="0" w:after="0"/>
      </w:pPr>
    </w:p>
    <w:p>
      <w:r>
        <w:t xml:space="preserve">Značajnija odstupanja u odnosu na prethodno razdoblje evidentirana su na:</w:t>
      </w:r>
    </w:p>
    <w:p>
      <w:r>
        <w:t xml:space="preserve">     Novac u banci i blagajni - novčana sredstva na računima i u blagajni manja su za 87  % u</w:t>
      </w:r>
    </w:p>
    <w:p>
      <w:r>
        <w:t xml:space="preserve"> odnosu na početak  godine; sada iznose 77.160,71, te ovise i variraju o podmirenju obveza</w:t>
      </w:r>
    </w:p>
    <w:p>
      <w:r>
        <w:t xml:space="preserve"> i ostvarenju prihoda.</w:t>
      </w:r>
    </w:p>
    <w:p>
      <w:r>
        <w:t xml:space="preserve"> </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(šifre 23+24+25+26+27+29)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39.391,83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56.916,76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144,5</w:t>
            </w:r>
          </w:p>
        </w:tc>
      </w:tr>
    </w:tbl>
    <w:p>
      <w:pPr>
        <w:spacing w:before="0" w:after="0"/>
      </w:pPr>
    </w:p>
    <w:p>
      <w:r>
        <w:t xml:space="preserve">Obveze bilježe povećanje za 44,5  % u odnosu na početak godine te iznose 56.916,76 eura. </w:t>
      </w:r>
    </w:p>
    <w:p>
      <w:r>
        <w:t xml:space="preserve">Nedospjele obveze iznose 56.833,76 eura. </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568.796,93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20.422,67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w:t>
            </w:r>
          </w:p>
        </w:tc>
      </w:tr>
    </w:tbl>
    <w:p>
      <w:pPr>
        <w:spacing w:before="0" w:after="0"/>
      </w:pPr>
    </w:p>
    <w:p>
      <w:r>
        <w:t xml:space="preserve">Rezultat prethodno razdoblje iznosi 922 iznosi višak poslovanja 568.796,93 eura, tijekom 2025. godine evidentirana su usklađenja bilanci, ispravci knjiženja iz prethodnih razdoblja, te smanjenje viška prihoda poslovanja u iznosu od 88.358,42 prema presudi PP Orahovice (poslovni broj: Pž-5138/2022-4), te iznosi 480,291,76  eura.</w:t>
      </w:r>
    </w:p>
    <w:p>
      <w:r>
        <w:t xml:space="preserve">Povedena je korekcija rezultata u skladu s odredbama članka 82.Pravilnika o proračunskom </w:t>
      </w:r>
    </w:p>
    <w:p>
      <w:r>
        <w:t xml:space="preserve">računovodstvu i računskom planu, a odnosi se na korekciju rezultata</w:t>
      </w:r>
    </w:p>
    <w:p>
      <w:r>
        <w:t xml:space="preserve">zbog kapitalnih prijenosa sredstava kojima su financirane nabave nefinancijske imovine.</w:t>
      </w:r>
    </w:p>
    <w:p>
      <w:r>
        <w:t xml:space="preserve"> </w:t>
      </w:r>
    </w:p>
    <w:p>
      <w:r>
        <w:t xml:space="preserve">1.      Korekcija (kapitalna sredstva klasificirana kao prihodi redovnog poslovanja iskorišteni za nabavu dugotrajne nefinancijske imovine) . Evidentirana je u korist manjka prihoda od nefinancijske imovine, a iznosi 76.600,00 eura, a odnosi se na financiranje izgradnje staza u Velikom Rastovcu u iznosu od 42.000,00 eura, te 34.600,00 eura za izgradnju ograde oko groblja u naselju Crnac</w:t>
      </w:r>
    </w:p>
    <w:p>
      <w:r>
        <w:t xml:space="preserve">2.Korekcija odnosi se za prihode od prodaje poljopr.zemljišta u vlasništvu RH utrošene  na održavanje poljskih puteva na ( održavanje nefinanc.imovine odjeljak 323) u iznosu od 4.090,04 eura</w:t>
      </w:r>
    </w:p>
    <w:p>
      <w:r>
        <w:t xml:space="preserve"> </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Kontrolni zbroj (šifre 01+02+03+04+05+06+07+08+09+10)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1.214.313,90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1.645.226,72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135,5</w:t>
            </w:r>
          </w:p>
        </w:tc>
      </w:tr>
    </w:tbl>
    <w:p>
      <w:pPr>
        <w:spacing w:before="0" w:after="0"/>
      </w:pPr>
    </w:p>
    <w:p>
      <w:r>
        <w:t xml:space="preserve">Podaci iz izvještaja o rashodima prema funkcijskoj klasifikaciji daju informaciju o potrošnji po funkcijama. U obrazac se unose samo rashodi skupine 3 i 4,dok se izdaci za financijsku imovinu razred 5 ne iskazuju. U izvještajnom razdoblju došlo je do značajnijeg povećanja kod funkcije protupožarne zaštite, religijske zajednice i starost</w:t>
      </w:r>
    </w:p>
    <w:p>
      <w:r>
        <w:t xml:space="preserve"> </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1.861,00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Promjene u vrijednosti i obujmu imovine i obaveza evidentiraju kod poslovnih događaja koji mijenjaju vrijednost ili obujam imovine  ili obaveza, a da se pri tome ne iskazuju prihodi ili rashodi</w:t>
      </w:r>
    </w:p>
    <w:p>
      <w:r>
        <w:t xml:space="preserve">niti primici ili izdaci. U 2025. bilježi  se otpis potraživanja poslovanja koji se odnosi na zakup imovine, te potraživanja za komunalnu naknadu.</w:t>
      </w:r>
    </w:p>
    <w:p>
      <w:r>
        <w:t xml:space="preserve"> </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56.916,76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Ukupne obveze na početku izvještajnog razdoblja iznosile su 39.931,3 eura. Na kraju izvještajnog razdoblja obveze iznose 56.916,76 eura tj. Smanjenje u promatranom razdoblju iznosi 24.287,96 eura.</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 </w:t>
      </w:r>
    </w:p>
    <w:p>
      <w:r>
        <w:t xml:space="preserve">Ukupno nedospjele obveze iznose 56.833,76 eura, dok dospjele obveze iznose 83 eura   .</w:t>
      </w:r>
    </w:p>
    <w:p>
      <w:r>
        <w:t xml:space="preserve">Dospjele obveze odnose se na donacije, a omaškom nisu plaćene u roku dospijeća</w:t>
      </w:r>
    </w:p>
    <w:p/>
    <w:p>
      <w:pPr>
        <w:jc w:val="center"/>
        <w:pStyle w:val="Normal"/>
        <w:spacing w:line="240" w:lineRule="auto"/>
        <w:keepNext/>
      </w:pPr>
      <w:r>
        <w:rPr>
          <w:sz w:val="28"/>
          <w:rFonts w:ascii="Times New Roman" w:hAnsi="Times New Roman"/>
        </w:rPr>
        <w:t xml:space="preserve">Bilješka 26.</w:t>
      </w:r>
    </w:p>
    <w:p>
      <w:pPr>
        <w:jc w:val="both"/>
        <w:pStyle w:val="Normal"/>
        <w:spacing w:line="240" w:lineRule="auto"/>
      </w:pPr>
      <w:r>
        <w:rPr>
          <w:b/>
          <w:sz w:val="24"/>
          <w:rFonts w:ascii="Times New Roman" w:hAnsi="Times New Roman"/>
        </w:rPr>
        <w:t xml:space="preserve">EU izvještaj</w:t>
      </w:r>
    </w:p>
    <w:p>
      <w:r>
        <w:t xml:space="preserve">Ugovor o dodjeli bespovratnih sredstava, kodni broj: SF.3.4.11.01.0261 od 3.4.2024. godine za projekte koji se financiraju iz Europskog socijalnog fonda, Programa Učinkoviti ljudski potencijali 2021.-2027. „Zaželi – prevencija institucionalizacije za projekt „ OPĆINA CRNAC ZAŽELI FAZA 4 – NISTE SAMI“ kodni broj SF.3.4.11.01.0261 sklopljen je u 2024. godini.</w:t>
      </w:r>
    </w:p>
    <w:p>
      <w:r>
        <w:t xml:space="preserve">Cilj je povećati socijalna uključenost i prevencija institucionalizacije ranjivih skupina osiguravanjem dugotrajne skrbi na području općine Crnac za ukupno 60 pripadnika ciljne skupine i zaposlenje 10 pružatelja usluga. </w:t>
      </w:r>
    </w:p>
    <w:p>
      <w:r>
        <w:t xml:space="preserve">Utrošena sredstva u 2025. godini iznose 156.172,35 eura, a prihodi ostvareni u izvještajnom razdoblju iznose 109.347,00 eura. Potraživanja za ZNS iznose 46.304,10 eura.</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21650e04776340b5" /></Relationships>
</file>