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f9e5c2664424ea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33048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CRNAC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320.216,32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324.624,71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257.145,27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239.457,53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63.071,05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85.167,18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21.783,71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27.926,42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41.287,34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57.240,76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138,6</w:t>
            </w:r>
          </w:p>
        </w:tc>
      </w:tr>
    </w:tbl>
    <w:p>
      <w:pPr>
        <w:spacing w:before="0" w:after="0"/>
      </w:pPr>
    </w:p>
    <w:p>
      <w:r>
        <w:t xml:space="preserve">Prihodi poslovanja (skupina 6) ostvareni u izvještajnom razdoblju iznose 324.624,71 eura, što je za 1,4 % više nego prethodne godine u izvještajnom razdoblju.  Rashodi poslovanja (skupina 3) ostvareni su u iznosu od 239.457,53 eura ili za 6,9% manje nego u odnosu na prethodnu godinu, dok rashodi za nabavu nefinancijske imovine su za 28,2% veći u odnosu na razdoblje prethodne godine, te iznose 27.926,42.</w:t>
      </w:r>
    </w:p>
    <w:p>
      <w:r>
        <w:t xml:space="preserve">Višak prihoda poslovanja u izvještajnom razdoblju iznosi 57.240,76, dok preneseni višak iznosi 20.422,67, te raspoloživa sredstva u sljedećem razdoblju iznose 77.663,43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59.659,54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Ovo razdoblje ne bilježi ostvarenje jer je dospijeće plaćanja 31.12.,prethodno bilježi zbog kašnjenja u plaćanju PP Orahovice naknade za koncesiju za poljoprivredno zemljište u vlasništvu RH za 2024.godinu, te je uplaćeno početkom 2025.</w:t>
      </w:r>
    </w:p>
    <w:p>
      <w:r>
        <w:t xml:space="preserve"> </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95.094,61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49.644,45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w:t>
            </w:r>
          </w:p>
        </w:tc>
      </w:tr>
    </w:tbl>
    <w:p>
      <w:pPr>
        <w:spacing w:before="0" w:after="0"/>
      </w:pPr>
    </w:p>
    <w:p>
      <w:r>
        <w:t xml:space="preserve">Ostvareni su  manje nego prošle godine u izvještajnom razdoblju, a odstupanja postoje zbog evidentiranja kontinuiranih rashoda plaće za 12/2024. u 2025.godini.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w:t>
            </w:r>
          </w:p>
        </w:tc>
      </w:tr>
    </w:tbl>
    <w:p>
      <w:pPr>
        <w:spacing w:before="0" w:after="0"/>
      </w:pPr>
    </w:p>
    <w:p>
      <w:r>
        <w:t xml:space="preserve"> </w:t>
      </w:r>
    </w:p>
    <w:p>
      <w:r>
        <w:t xml:space="preserve">U ovom izvještajnom razdoblju bilježe se manji rashodi zbog isplate provedbe predsjedničkih izbora u prethodnom razdoblju.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356,4</w:t>
            </w:r>
          </w:p>
        </w:tc>
      </w:tr>
    </w:tbl>
    <w:p>
      <w:pPr>
        <w:spacing w:before="0" w:after="0"/>
      </w:pPr>
    </w:p>
    <w:p>
      <w:r>
        <w:t xml:space="preserve"> </w:t>
      </w:r>
    </w:p>
    <w:p>
      <w:r>
        <w:t xml:space="preserve">Povećanje rashoda zbog većih troškova poslovanja društva  Elkomnet d.o.o. trgovačko društvo za upravljanje sustavom električne komunikacijske mreže. Troškovi se dijele ravnomjerno na Općine (članove društva) ravnomjerno po zahtjevu za prethodni mjesec</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w:t>
            </w:r>
          </w:p>
        </w:tc>
      </w:tr>
    </w:tbl>
    <w:p>
      <w:pPr>
        <w:spacing w:before="0" w:after="0"/>
      </w:pPr>
    </w:p>
    <w:p>
      <w:r>
        <w:t xml:space="preserve"> Rashodi za sufinanciranje DV Lipa se bilježe na odjeljku 3661</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35.409,81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Ovaj odjeljak bilježi ostvarenje, a odnosi se na financiranje Dječjeg vrtića Lipa, područni odjel Veliki Rastovac, koji je proračunski korisnik Općine Čađavica. Prethodno su ti rashodi bili evidentirani na odjeljku 3631.</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28.012,00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1134,1</w:t>
            </w:r>
          </w:p>
        </w:tc>
      </w:tr>
    </w:tbl>
    <w:p>
      <w:pPr>
        <w:spacing w:before="0" w:after="0"/>
      </w:pPr>
    </w:p>
    <w:p>
      <w:r>
        <w:t xml:space="preserve"> </w:t>
      </w:r>
    </w:p>
    <w:p>
      <w:r>
        <w:t xml:space="preserve">Odstupanje na ovom odjeljku se odnosi na naknade građanima u vidu isplate uskrsnica socijalno ugoženima i umirovljenicima , naknade za novorođeno dijete, te priključke građanima na kanalizacijski sustav, što razdoblje prethodne godine nije bilježilo</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36.343,54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442,3</w:t>
            </w:r>
          </w:p>
        </w:tc>
      </w:tr>
    </w:tbl>
    <w:p>
      <w:pPr>
        <w:spacing w:before="0" w:after="0"/>
      </w:pPr>
    </w:p>
    <w:p>
      <w:r>
        <w:t xml:space="preserve">Rashodi se odnose na doznaku sredstava za sufinanciranje izgradnje kanalizacije po NPOO projektu naziva „Izgradnja sustava odvodnje u naseljima Duga Međa i Crnac“</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503,2</w:t>
            </w:r>
          </w:p>
        </w:tc>
      </w:tr>
    </w:tbl>
    <w:p>
      <w:pPr>
        <w:spacing w:before="0" w:after="0"/>
      </w:pPr>
    </w:p>
    <w:p>
      <w:r>
        <w:t xml:space="preserve"> </w:t>
      </w:r>
    </w:p>
    <w:p>
      <w:r>
        <w:t xml:space="preserve">Rashodi se odnosi na projekt za nabavu opreme za DV Lipa koji je proveden u sklopu javnog poziva Ministarstva demografije i useljeništva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početku izvještajnog razdoblja iznosile su 56.916,76 eura. Na kraju izvještajnog razdoblja obveze iznose 7.033,83 eura tj. Smanjenje u promatranom razdoblju iznosi 49.882,93 eura.</w:t>
      </w:r>
    </w:p>
    <w:p>
      <w:r>
        <w:t xml:space="preserve">U cijelosti su nedospjele.</w:t>
      </w:r>
    </w:p>
    <w:p/>
    <w:p>
      <w:pPr>
        <w:jc w:val="center"/>
        <w:pStyle w:val="Normal"/>
        <w:spacing w:line="240" w:lineRule="auto"/>
        <w:keepNext/>
      </w:pPr>
      <w:r>
        <w:rPr>
          <w:sz w:val="28"/>
          <w:rFonts w:ascii="Times New Roman" w:hAnsi="Times New Roman"/>
        </w:rPr>
        <w:t xml:space="preserve">Bilješka 12.</w:t>
      </w:r>
    </w:p>
    <w:p>
      <w:pPr>
        <w:jc w:val="both"/>
        <w:pStyle w:val="Normal"/>
        <w:spacing w:line="240" w:lineRule="auto"/>
      </w:pPr>
      <w:r>
        <w:rPr>
          <w:b/>
          <w:sz w:val="24"/>
          <w:rFonts w:ascii="Times New Roman" w:hAnsi="Times New Roman"/>
        </w:rPr>
        <w:t xml:space="preserve">EU izvještaj</w:t>
      </w:r>
    </w:p>
    <w:p>
      <w:r>
        <w:t xml:space="preserve"> </w:t>
      </w:r>
    </w:p>
    <w:p>
      <w:r>
        <w:t xml:space="preserve">Ugovor o dodjeli bespovratnih sredstava, kodni broj: SF.3.4.11.01.0261 od 3.4.2024. godine za projekte koji se financiraju iz Europskog socijalnog fonda, Programa Učinkoviti ljudski potencijali 2021.-2027. „Zaželi – prevencija institucionalizacije za projekt „ OPĆINA CRNAC ZAŽELI FAZA 4 – NISTE SAMI“ kodni broj SF.3.4.11.01.0261 sklopljen je u 2024. godini.</w:t>
      </w:r>
    </w:p>
    <w:p>
      <w:r>
        <w:t xml:space="preserve">Cilj je povećati socijalna uključenost i prevencija institucionalizacije ranjivih skupina osiguravanjem dugotrajne skrbi na području općine Crnac za ukupno 60 pripadnika ciljne skupine i zaposlenje 10 pružatelja usluga. </w:t>
      </w:r>
    </w:p>
    <w:p>
      <w:r>
        <w:t xml:space="preserve">Utrošena sredstva u 2026. godini iznose 26.281,00 eura, a prihodi ostvareni u izvještajnom razdoblju iznose 92.608,20 eura.</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14c2dbfbc4b4b5e" /></Relationships>
</file>